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2B8" w14:textId="77777777" w:rsidR="00662DD1" w:rsidRPr="00662DD1" w:rsidRDefault="00662DD1">
      <w:pPr>
        <w:rPr>
          <w:rFonts w:ascii="Arial" w:hAnsi="Arial" w:cs="Arial"/>
          <w:b/>
          <w:bCs/>
          <w:color w:val="4E81BD"/>
        </w:rPr>
      </w:pPr>
    </w:p>
    <w:p w14:paraId="373E9F38" w14:textId="27C12D94" w:rsidR="00624FB4" w:rsidRPr="00D674BC" w:rsidRDefault="00966059">
      <w:pPr>
        <w:rPr>
          <w:rFonts w:ascii="Arial" w:hAnsi="Arial" w:cs="Arial"/>
          <w:b/>
          <w:bCs/>
          <w:color w:val="4E81BD"/>
          <w:sz w:val="48"/>
          <w:szCs w:val="48"/>
        </w:rPr>
      </w:pPr>
      <w:r>
        <w:rPr>
          <w:rFonts w:ascii="Arial" w:hAnsi="Arial" w:cs="Arial"/>
          <w:b/>
          <w:bCs/>
          <w:color w:val="4E81BD"/>
          <w:sz w:val="48"/>
          <w:szCs w:val="48"/>
        </w:rPr>
        <w:t xml:space="preserve">COVID-19 </w:t>
      </w:r>
      <w:r w:rsidR="00624FB4" w:rsidRPr="00D674BC">
        <w:rPr>
          <w:rFonts w:ascii="Arial" w:hAnsi="Arial" w:cs="Arial"/>
          <w:b/>
          <w:bCs/>
          <w:color w:val="4E81BD"/>
          <w:sz w:val="48"/>
          <w:szCs w:val="48"/>
        </w:rPr>
        <w:t xml:space="preserve">Vaccine Safety Literature </w:t>
      </w:r>
      <w:r w:rsidR="0004127C">
        <w:rPr>
          <w:rFonts w:ascii="Arial" w:hAnsi="Arial" w:cs="Arial"/>
          <w:b/>
          <w:bCs/>
          <w:color w:val="4E81BD"/>
          <w:sz w:val="48"/>
          <w:szCs w:val="48"/>
        </w:rPr>
        <w:t xml:space="preserve">Review </w:t>
      </w:r>
      <w:r w:rsidR="00624FB4" w:rsidRPr="00D674BC">
        <w:rPr>
          <w:rFonts w:ascii="Arial" w:hAnsi="Arial" w:cs="Arial"/>
          <w:b/>
          <w:bCs/>
          <w:color w:val="4E81BD"/>
          <w:sz w:val="48"/>
          <w:szCs w:val="48"/>
        </w:rPr>
        <w:t>Presented on VIEW-hub</w:t>
      </w:r>
    </w:p>
    <w:p w14:paraId="53F50C1C" w14:textId="77777777" w:rsidR="00624FB4" w:rsidRDefault="00624FB4">
      <w:pPr>
        <w:rPr>
          <w:sz w:val="32"/>
          <w:szCs w:val="32"/>
        </w:rPr>
      </w:pPr>
    </w:p>
    <w:p w14:paraId="2258F170" w14:textId="77777777" w:rsidR="00624FB4" w:rsidRPr="00D674BC" w:rsidRDefault="00624FB4">
      <w:pPr>
        <w:rPr>
          <w:rFonts w:ascii="Arial" w:hAnsi="Arial" w:cs="Arial"/>
          <w:b/>
          <w:bCs/>
          <w:color w:val="FE8200"/>
          <w:sz w:val="32"/>
          <w:szCs w:val="32"/>
        </w:rPr>
      </w:pPr>
      <w:r w:rsidRPr="00D674BC">
        <w:rPr>
          <w:rFonts w:ascii="Arial" w:hAnsi="Arial" w:cs="Arial"/>
          <w:b/>
          <w:bCs/>
          <w:color w:val="FE8200"/>
          <w:sz w:val="44"/>
          <w:szCs w:val="44"/>
        </w:rPr>
        <w:t>Methods</w:t>
      </w:r>
    </w:p>
    <w:p w14:paraId="45F361EE" w14:textId="77777777" w:rsidR="00624FB4" w:rsidRDefault="00624FB4">
      <w:pPr>
        <w:rPr>
          <w:b/>
          <w:bCs/>
          <w:sz w:val="32"/>
          <w:szCs w:val="32"/>
        </w:rPr>
      </w:pPr>
    </w:p>
    <w:p w14:paraId="1791FB79" w14:textId="5865A6BF" w:rsidR="00624FB4" w:rsidRPr="00D674BC" w:rsidRDefault="00624FB4">
      <w:pPr>
        <w:rPr>
          <w:rFonts w:ascii="Arial" w:eastAsiaTheme="majorEastAsia" w:hAnsi="Arial" w:cs="Arial"/>
          <w:color w:val="666666"/>
          <w:spacing w:val="-10"/>
          <w:kern w:val="28"/>
          <w:sz w:val="28"/>
          <w:szCs w:val="28"/>
        </w:rPr>
      </w:pPr>
      <w:r w:rsidRPr="00D674BC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 xml:space="preserve">Updated </w:t>
      </w:r>
      <w:r w:rsidR="000F5BFF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March</w:t>
      </w:r>
      <w:r w:rsidR="004C253E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 xml:space="preserve"> </w:t>
      </w:r>
      <w:r w:rsidR="009829D5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23</w:t>
      </w:r>
      <w:r w:rsidRPr="00D674BC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, 202</w:t>
      </w:r>
      <w:r w:rsidR="004C253E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3</w:t>
      </w:r>
    </w:p>
    <w:p w14:paraId="1987DDB6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23A87C13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28E80A2D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3871AD5E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42CE9656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25EB4303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5A8A3DFF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39B00E38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4CCA8C33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451D5463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29FC97F4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4623FBB1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25D19F95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40675C64" w14:textId="77777777" w:rsidR="00624FB4" w:rsidRDefault="00624FB4">
      <w:pPr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</w:p>
    <w:p w14:paraId="6160B1B2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  <w:r w:rsidRPr="00D674BC">
        <w:rPr>
          <w:rFonts w:ascii="Arial" w:eastAsiaTheme="majorEastAsia" w:hAnsi="Arial" w:cs="Arial"/>
          <w:b/>
          <w:bCs/>
          <w:color w:val="666666"/>
          <w:spacing w:val="-10"/>
          <w:kern w:val="28"/>
        </w:rPr>
        <w:t>Prepared by:</w:t>
      </w:r>
    </w:p>
    <w:p w14:paraId="1281F12A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  <w:r w:rsidRPr="00D674BC">
        <w:rPr>
          <w:rFonts w:ascii="Arial" w:eastAsiaTheme="majorEastAsia" w:hAnsi="Arial" w:cs="Arial"/>
          <w:b/>
          <w:bCs/>
          <w:color w:val="666666"/>
          <w:spacing w:val="-10"/>
          <w:kern w:val="28"/>
        </w:rPr>
        <w:t>International Vaccine Access Center,</w:t>
      </w:r>
    </w:p>
    <w:p w14:paraId="02933D84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  <w:r w:rsidRPr="00D674BC">
        <w:rPr>
          <w:rFonts w:ascii="Arial" w:eastAsiaTheme="majorEastAsia" w:hAnsi="Arial" w:cs="Arial"/>
          <w:b/>
          <w:bCs/>
          <w:color w:val="666666"/>
          <w:spacing w:val="-10"/>
          <w:kern w:val="28"/>
        </w:rPr>
        <w:t>Johns Hopkins Bloomberg School of Public Health</w:t>
      </w:r>
    </w:p>
    <w:p w14:paraId="76D8F529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</w:p>
    <w:p w14:paraId="72D54C8F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  <w:r w:rsidRPr="00D674BC">
        <w:rPr>
          <w:rFonts w:ascii="Arial" w:eastAsiaTheme="majorEastAsia" w:hAnsi="Arial" w:cs="Arial"/>
          <w:b/>
          <w:bCs/>
          <w:color w:val="666666"/>
          <w:spacing w:val="-10"/>
          <w:kern w:val="28"/>
        </w:rPr>
        <w:t>and</w:t>
      </w:r>
    </w:p>
    <w:p w14:paraId="6A0185F7" w14:textId="77777777" w:rsidR="00624FB4" w:rsidRP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</w:p>
    <w:p w14:paraId="2A9D3373" w14:textId="77777777" w:rsidR="00D674BC" w:rsidRDefault="00624FB4" w:rsidP="00624FB4">
      <w:pPr>
        <w:jc w:val="center"/>
        <w:rPr>
          <w:rFonts w:ascii="Arial" w:eastAsiaTheme="majorEastAsia" w:hAnsi="Arial" w:cs="Arial"/>
          <w:b/>
          <w:bCs/>
          <w:color w:val="666666"/>
          <w:spacing w:val="-10"/>
          <w:kern w:val="28"/>
        </w:rPr>
      </w:pPr>
      <w:r w:rsidRPr="00D674BC">
        <w:rPr>
          <w:rFonts w:ascii="Arial" w:eastAsiaTheme="majorEastAsia" w:hAnsi="Arial" w:cs="Arial"/>
          <w:b/>
          <w:bCs/>
          <w:color w:val="666666"/>
          <w:spacing w:val="-10"/>
          <w:kern w:val="28"/>
        </w:rPr>
        <w:t>Coalition for Epidemic Preparedness Innovations</w:t>
      </w:r>
    </w:p>
    <w:p w14:paraId="649739C7" w14:textId="77777777" w:rsidR="00650EF9" w:rsidRDefault="00650EF9" w:rsidP="00D674BC">
      <w:pPr>
        <w:rPr>
          <w:rFonts w:ascii="Arial" w:eastAsiaTheme="majorEastAsia" w:hAnsi="Arial" w:cs="Arial"/>
          <w:color w:val="666666"/>
          <w:spacing w:val="-10"/>
          <w:kern w:val="28"/>
        </w:rPr>
      </w:pPr>
    </w:p>
    <w:p w14:paraId="3E77F779" w14:textId="11558CC8" w:rsidR="00B66228" w:rsidRDefault="00650EF9" w:rsidP="00D674BC">
      <w:pPr>
        <w:rPr>
          <w:rFonts w:eastAsiaTheme="majorEastAsia" w:cstheme="minorHAnsi"/>
          <w:spacing w:val="-10"/>
          <w:kern w:val="28"/>
          <w:sz w:val="28"/>
          <w:szCs w:val="28"/>
        </w:rPr>
      </w:pPr>
      <w:r>
        <w:rPr>
          <w:bCs/>
          <w:noProof/>
          <w:color w:val="000000"/>
          <w:sz w:val="22"/>
          <w:szCs w:val="22"/>
        </w:rPr>
        <w:drawing>
          <wp:inline distT="0" distB="0" distL="0" distR="0" wp14:anchorId="78B6E6D1" wp14:editId="4895CB2F">
            <wp:extent cx="2107096" cy="729379"/>
            <wp:effectExtent l="0" t="0" r="127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41" b="21120"/>
                    <a:stretch/>
                  </pic:blipFill>
                  <pic:spPr bwMode="auto">
                    <a:xfrm>
                      <a:off x="0" y="0"/>
                      <a:ext cx="2286562" cy="7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6228">
        <w:rPr>
          <w:rFonts w:eastAsiaTheme="majorEastAsia" w:cstheme="minorHAnsi"/>
          <w:spacing w:val="-10"/>
          <w:kern w:val="28"/>
          <w:sz w:val="28"/>
          <w:szCs w:val="28"/>
        </w:rPr>
        <w:tab/>
      </w:r>
      <w:r w:rsidR="00B66228">
        <w:rPr>
          <w:rFonts w:eastAsiaTheme="majorEastAsia" w:cstheme="minorHAnsi"/>
          <w:spacing w:val="-10"/>
          <w:kern w:val="28"/>
          <w:sz w:val="28"/>
          <w:szCs w:val="28"/>
        </w:rPr>
        <w:tab/>
      </w:r>
      <w:r w:rsidR="00B66228">
        <w:rPr>
          <w:rFonts w:eastAsiaTheme="majorEastAsia" w:cstheme="minorHAnsi"/>
          <w:spacing w:val="-10"/>
          <w:kern w:val="28"/>
          <w:sz w:val="28"/>
          <w:szCs w:val="28"/>
        </w:rPr>
        <w:tab/>
      </w:r>
      <w:r w:rsidR="00B66228">
        <w:rPr>
          <w:rFonts w:eastAsiaTheme="majorEastAsia" w:cstheme="minorHAnsi"/>
          <w:spacing w:val="-10"/>
          <w:kern w:val="28"/>
          <w:sz w:val="28"/>
          <w:szCs w:val="28"/>
        </w:rPr>
        <w:tab/>
      </w:r>
      <w:r w:rsidR="00B66228">
        <w:rPr>
          <w:rFonts w:eastAsiaTheme="majorEastAsia" w:cstheme="minorHAnsi"/>
          <w:spacing w:val="-10"/>
          <w:kern w:val="28"/>
          <w:sz w:val="28"/>
          <w:szCs w:val="28"/>
        </w:rPr>
        <w:tab/>
      </w:r>
      <w:r w:rsidR="00B66228">
        <w:rPr>
          <w:rFonts w:ascii="Arial" w:hAnsi="Arial" w:cs="Arial"/>
          <w:b/>
          <w:bCs/>
          <w:noProof/>
          <w:color w:val="4E81BD"/>
          <w:sz w:val="48"/>
          <w:szCs w:val="48"/>
        </w:rPr>
        <w:drawing>
          <wp:inline distT="0" distB="0" distL="0" distR="0" wp14:anchorId="7B41DC32" wp14:editId="2DACE6C1">
            <wp:extent cx="1415332" cy="707667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03" cy="7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4BDD9" w14:textId="77777777" w:rsidR="00CE4552" w:rsidRDefault="00CE4552" w:rsidP="00D674BC">
      <w:pPr>
        <w:rPr>
          <w:rFonts w:eastAsiaTheme="majorEastAsia" w:cstheme="minorHAnsi"/>
          <w:spacing w:val="-10"/>
          <w:kern w:val="28"/>
          <w:sz w:val="28"/>
          <w:szCs w:val="28"/>
        </w:rPr>
      </w:pPr>
    </w:p>
    <w:p w14:paraId="3186F112" w14:textId="25565372" w:rsidR="00624FB4" w:rsidRPr="00CE4552" w:rsidRDefault="00CE4552" w:rsidP="00CE4552">
      <w:pPr>
        <w:jc w:val="center"/>
        <w:rPr>
          <w:rFonts w:ascii="Arial" w:eastAsiaTheme="majorEastAsia" w:hAnsi="Arial" w:cs="Arial"/>
          <w:color w:val="7B7B7B" w:themeColor="accent3" w:themeShade="BF"/>
          <w:spacing w:val="-10"/>
          <w:kern w:val="28"/>
          <w:sz w:val="22"/>
          <w:szCs w:val="22"/>
        </w:rPr>
      </w:pPr>
      <w:r w:rsidRPr="00CE4552">
        <w:rPr>
          <w:rFonts w:ascii="Arial" w:eastAsiaTheme="majorEastAsia" w:hAnsi="Arial" w:cs="Arial"/>
          <w:color w:val="666666"/>
          <w:spacing w:val="-10"/>
          <w:kern w:val="28"/>
          <w:sz w:val="20"/>
          <w:szCs w:val="20"/>
        </w:rPr>
        <w:t xml:space="preserve">For comments or questions, please contact: Marley Jurgensmeyer at </w:t>
      </w:r>
      <w:hyperlink r:id="rId10" w:history="1">
        <w:r w:rsidRPr="00CE4552">
          <w:rPr>
            <w:rStyle w:val="Hyperlink"/>
            <w:rFonts w:ascii="Arial" w:eastAsiaTheme="majorEastAsia" w:hAnsi="Arial" w:cs="Arial"/>
            <w:spacing w:val="-10"/>
            <w:kern w:val="28"/>
            <w:sz w:val="20"/>
            <w:szCs w:val="20"/>
          </w:rPr>
          <w:t>mjurgen4@jhu.edu</w:t>
        </w:r>
      </w:hyperlink>
      <w:r w:rsidRPr="00CE4552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. </w:t>
      </w:r>
      <w:r w:rsidR="00624FB4" w:rsidRPr="00CE4552">
        <w:rPr>
          <w:rFonts w:ascii="Arial" w:eastAsiaTheme="majorEastAsia" w:hAnsi="Arial" w:cs="Arial"/>
          <w:spacing w:val="-10"/>
          <w:kern w:val="28"/>
        </w:rPr>
        <w:br w:type="page"/>
      </w:r>
    </w:p>
    <w:p w14:paraId="2F719A87" w14:textId="0CBA9124" w:rsidR="005719AE" w:rsidRDefault="003D24F0" w:rsidP="000946C0">
      <w:bookmarkStart w:id="0" w:name="_Literature_Search"/>
      <w:bookmarkEnd w:id="0"/>
      <w:r>
        <w:lastRenderedPageBreak/>
        <w:t xml:space="preserve">Published studies on the </w:t>
      </w:r>
      <w:r w:rsidR="00A84A85">
        <w:t xml:space="preserve">safety </w:t>
      </w:r>
      <w:r>
        <w:t>of routine use of COVID-19 vaccine</w:t>
      </w:r>
      <w:r w:rsidR="00A84A85">
        <w:t xml:space="preserve"> </w:t>
      </w:r>
      <w:r>
        <w:t xml:space="preserve">assessing serious adverse events following immunization are </w:t>
      </w:r>
      <w:r w:rsidR="00A84A85">
        <w:t xml:space="preserve">presented on the COVID-19 safety module on the </w:t>
      </w:r>
      <w:hyperlink r:id="rId11" w:history="1">
        <w:r w:rsidR="00A84A85" w:rsidRPr="003D24F0">
          <w:rPr>
            <w:rStyle w:val="Hyperlink"/>
          </w:rPr>
          <w:t>VIEW-hub.org</w:t>
        </w:r>
      </w:hyperlink>
      <w:r w:rsidR="00A84A85">
        <w:t xml:space="preserve"> website. </w:t>
      </w:r>
      <w:r w:rsidR="00966059">
        <w:t>Here we describe the methods for identifying published studies</w:t>
      </w:r>
      <w:r w:rsidR="00FE16B4">
        <w:t>, which were developed in collaboration with input from CEPI</w:t>
      </w:r>
      <w:r w:rsidR="00A84A85">
        <w:t>.</w:t>
      </w:r>
      <w:r w:rsidR="00950481">
        <w:t xml:space="preserve"> Standardized methodology has been developed by the WHO and CDC.</w:t>
      </w:r>
      <w:r w:rsidR="00950481">
        <w:rPr>
          <w:rStyle w:val="FootnoteReference"/>
        </w:rPr>
        <w:footnoteReference w:id="1"/>
      </w:r>
      <w:r w:rsidR="00950481">
        <w:rPr>
          <w:rStyle w:val="FootnoteReference"/>
        </w:rPr>
        <w:footnoteReference w:id="2"/>
      </w:r>
    </w:p>
    <w:p w14:paraId="7511B3C6" w14:textId="77777777" w:rsidR="00DF3C38" w:rsidRPr="00DF3C38" w:rsidRDefault="00DF3C38" w:rsidP="00DF3C38"/>
    <w:p w14:paraId="091E7112" w14:textId="1169E191" w:rsidR="003D24F0" w:rsidRDefault="00AF4593" w:rsidP="008F1635">
      <w:r>
        <w:t xml:space="preserve">A search of the published literature for COVID-19 vaccine safety studies </w:t>
      </w:r>
      <w:r w:rsidR="00966059">
        <w:t>assessing</w:t>
      </w:r>
      <w:r>
        <w:t xml:space="preserve"> adverse events </w:t>
      </w:r>
      <w:r w:rsidR="009D34BB">
        <w:t xml:space="preserve">following immunization </w:t>
      </w:r>
      <w:r w:rsidR="00B65732">
        <w:t xml:space="preserve">(AEFI) </w:t>
      </w:r>
      <w:r w:rsidR="000F5BFF">
        <w:t xml:space="preserve">was </w:t>
      </w:r>
      <w:r>
        <w:t xml:space="preserve">conducted </w:t>
      </w:r>
      <w:r w:rsidR="000F5BFF">
        <w:t>January 27, 2023</w:t>
      </w:r>
      <w:r>
        <w:t xml:space="preserve">. See </w:t>
      </w:r>
      <w:hyperlink w:anchor="_Appendix_2:_Literature" w:history="1">
        <w:r w:rsidRPr="00966059">
          <w:rPr>
            <w:rStyle w:val="Hyperlink"/>
          </w:rPr>
          <w:t>Appendix</w:t>
        </w:r>
        <w:r w:rsidR="008737D9" w:rsidRPr="00966059">
          <w:rPr>
            <w:rStyle w:val="Hyperlink"/>
          </w:rPr>
          <w:t xml:space="preserve"> </w:t>
        </w:r>
        <w:r w:rsidR="00AD7CD5" w:rsidRPr="00966059">
          <w:rPr>
            <w:rStyle w:val="Hyperlink"/>
          </w:rPr>
          <w:t>2</w:t>
        </w:r>
      </w:hyperlink>
      <w:r>
        <w:t xml:space="preserve"> for literature search </w:t>
      </w:r>
      <w:r w:rsidR="00966059">
        <w:t>terms</w:t>
      </w:r>
      <w:r>
        <w:t>.</w:t>
      </w:r>
      <w:r w:rsidR="003D24F0" w:rsidRPr="003D24F0">
        <w:t xml:space="preserve"> </w:t>
      </w:r>
      <w:r w:rsidR="003D24F0">
        <w:t xml:space="preserve">AEFIs identified classified as </w:t>
      </w:r>
      <w:r w:rsidR="004C253E">
        <w:t>an</w:t>
      </w:r>
      <w:r w:rsidR="003D24F0">
        <w:t xml:space="preserve"> adverse event of special interest classified according to the </w:t>
      </w:r>
      <w:hyperlink r:id="rId12" w:history="1">
        <w:r w:rsidR="003D24F0" w:rsidRPr="00B952CA">
          <w:rPr>
            <w:rStyle w:val="Hyperlink"/>
          </w:rPr>
          <w:t>Brighton Collaboration</w:t>
        </w:r>
      </w:hyperlink>
      <w:r w:rsidR="003D24F0" w:rsidRPr="008F1635">
        <w:t xml:space="preserve"> shown in </w:t>
      </w:r>
      <w:hyperlink w:anchor="_Appendix_1:_Adverse" w:history="1">
        <w:r w:rsidR="003D24F0" w:rsidRPr="006C38C8">
          <w:rPr>
            <w:rStyle w:val="Hyperlink"/>
          </w:rPr>
          <w:t>Appendix 1</w:t>
        </w:r>
      </w:hyperlink>
      <w:r w:rsidR="004C253E">
        <w:t xml:space="preserve"> were searched for specifically by name to broaden search</w:t>
      </w:r>
      <w:r w:rsidR="003D24F0">
        <w:t xml:space="preserve">. </w:t>
      </w:r>
    </w:p>
    <w:p w14:paraId="47EFEE66" w14:textId="5A998749" w:rsidR="00AF4593" w:rsidRDefault="00AF4593"/>
    <w:p w14:paraId="02828F46" w14:textId="7FD8E248" w:rsidR="002C1686" w:rsidRDefault="00AF4593" w:rsidP="002C1686">
      <w:r>
        <w:t>Title</w:t>
      </w:r>
      <w:r w:rsidR="00966059">
        <w:t>s</w:t>
      </w:r>
      <w:r>
        <w:t xml:space="preserve"> and abstract</w:t>
      </w:r>
      <w:r w:rsidR="00966059">
        <w:t xml:space="preserve">s </w:t>
      </w:r>
      <w:r w:rsidR="000F5BFF">
        <w:t xml:space="preserve">were </w:t>
      </w:r>
      <w:r>
        <w:t>review</w:t>
      </w:r>
      <w:r w:rsidR="00966059">
        <w:t>ed</w:t>
      </w:r>
      <w:r>
        <w:t xml:space="preserve"> to identify </w:t>
      </w:r>
      <w:r w:rsidR="003B6923">
        <w:t xml:space="preserve">possible </w:t>
      </w:r>
      <w:r>
        <w:t>relevant studies</w:t>
      </w:r>
      <w:r w:rsidR="003B6923">
        <w:t>.  F</w:t>
      </w:r>
      <w:r>
        <w:t>ull-text review</w:t>
      </w:r>
      <w:r w:rsidR="003B6923">
        <w:t xml:space="preserve"> </w:t>
      </w:r>
      <w:r w:rsidR="000F5BFF">
        <w:t xml:space="preserve">was </w:t>
      </w:r>
      <w:r w:rsidR="003B6923">
        <w:t>performed to evaluate i</w:t>
      </w:r>
      <w:r w:rsidR="002C1686">
        <w:t xml:space="preserve">nclusion criteria. </w:t>
      </w:r>
      <w:r w:rsidR="000F5BFF">
        <w:t>Pre-prints later found to be published</w:t>
      </w:r>
      <w:r w:rsidR="007379C2">
        <w:t xml:space="preserve"> were excluded.</w:t>
      </w:r>
    </w:p>
    <w:p w14:paraId="47C13620" w14:textId="77777777" w:rsidR="004B502F" w:rsidRDefault="004B502F" w:rsidP="004B502F"/>
    <w:p w14:paraId="65BF11D9" w14:textId="3E6DDCCB" w:rsidR="002C1686" w:rsidRDefault="004B502F" w:rsidP="002C1686">
      <w:r>
        <w:rPr>
          <w:i/>
          <w:iCs/>
        </w:rPr>
        <w:t>Inclusion Criteria:</w:t>
      </w:r>
    </w:p>
    <w:p w14:paraId="564215C0" w14:textId="77777777" w:rsidR="007379C2" w:rsidRDefault="007379C2" w:rsidP="007379C2">
      <w:pPr>
        <w:pStyle w:val="ListParagraph"/>
        <w:numPr>
          <w:ilvl w:val="0"/>
          <w:numId w:val="1"/>
        </w:numPr>
      </w:pPr>
      <w:r>
        <w:t xml:space="preserve">Studies Indexed in PubMed (including pre-prints) and published prior to January 27, 2023 </w:t>
      </w:r>
    </w:p>
    <w:p w14:paraId="405377A6" w14:textId="46DD7010" w:rsidR="00B52D24" w:rsidRDefault="007379C2" w:rsidP="002C1686">
      <w:pPr>
        <w:pStyle w:val="ListParagraph"/>
        <w:numPr>
          <w:ilvl w:val="0"/>
          <w:numId w:val="1"/>
        </w:numPr>
      </w:pPr>
      <w:r>
        <w:t>E</w:t>
      </w:r>
      <w:r w:rsidR="00B52D24">
        <w:t>valuat</w:t>
      </w:r>
      <w:r>
        <w:t>ed</w:t>
      </w:r>
      <w:r w:rsidR="00B52D24">
        <w:t xml:space="preserve"> active vaccine safety surveillance</w:t>
      </w:r>
      <w:r>
        <w:t xml:space="preserve"> or cohort </w:t>
      </w:r>
      <w:r w:rsidR="009829D5">
        <w:t xml:space="preserve">event monitoring </w:t>
      </w:r>
      <w:r>
        <w:t>studies</w:t>
      </w:r>
    </w:p>
    <w:p w14:paraId="23F0F62E" w14:textId="2EBFF79E" w:rsidR="00646469" w:rsidRPr="00CE0BCA" w:rsidRDefault="004C253E" w:rsidP="00B52D24">
      <w:pPr>
        <w:pStyle w:val="ListParagraph"/>
        <w:numPr>
          <w:ilvl w:val="0"/>
          <w:numId w:val="1"/>
        </w:numPr>
      </w:pPr>
      <w:r w:rsidRPr="00646469">
        <w:t>E</w:t>
      </w:r>
      <w:r w:rsidR="00966059" w:rsidRPr="00646469">
        <w:t>valuate</w:t>
      </w:r>
      <w:r w:rsidR="007379C2">
        <w:t>d</w:t>
      </w:r>
      <w:r w:rsidR="00646469" w:rsidRPr="00646469">
        <w:t xml:space="preserve"> </w:t>
      </w:r>
      <w:r w:rsidR="00966059" w:rsidRPr="00646469">
        <w:t>routine use of COVID-19 vaccines</w:t>
      </w:r>
      <w:r w:rsidR="00646469" w:rsidRPr="00646469">
        <w:t xml:space="preserve"> </w:t>
      </w:r>
    </w:p>
    <w:p w14:paraId="37DEAC88" w14:textId="77777777" w:rsidR="00B52D24" w:rsidRDefault="00B52D24" w:rsidP="00B52D24">
      <w:pPr>
        <w:rPr>
          <w:i/>
          <w:iCs/>
        </w:rPr>
      </w:pPr>
    </w:p>
    <w:p w14:paraId="5718B369" w14:textId="301F3270" w:rsidR="00B52D24" w:rsidRDefault="00B52D24" w:rsidP="00B52D24">
      <w:r>
        <w:rPr>
          <w:i/>
          <w:iCs/>
        </w:rPr>
        <w:t>Exclusion Criteria:</w:t>
      </w:r>
    </w:p>
    <w:p w14:paraId="7F00C522" w14:textId="6F4CE516" w:rsidR="00646469" w:rsidRDefault="00B52D24" w:rsidP="00646469">
      <w:pPr>
        <w:pStyle w:val="ListParagraph"/>
        <w:numPr>
          <w:ilvl w:val="0"/>
          <w:numId w:val="1"/>
        </w:numPr>
      </w:pPr>
      <w:r>
        <w:t>C</w:t>
      </w:r>
      <w:r w:rsidR="00646469" w:rsidRPr="00CE0BCA">
        <w:t>ase</w:t>
      </w:r>
      <w:r w:rsidR="00646469">
        <w:t xml:space="preserve"> reports and case-series</w:t>
      </w:r>
      <w:r w:rsidR="00646469" w:rsidRPr="00CE0BCA">
        <w:t xml:space="preserve"> studies</w:t>
      </w:r>
    </w:p>
    <w:p w14:paraId="12D0A8E9" w14:textId="487E0EC9" w:rsidR="00B52D24" w:rsidRDefault="00B52D24" w:rsidP="00646469">
      <w:pPr>
        <w:pStyle w:val="ListParagraph"/>
        <w:numPr>
          <w:ilvl w:val="0"/>
          <w:numId w:val="1"/>
        </w:numPr>
      </w:pPr>
      <w:r>
        <w:t>Cross-sectional studies</w:t>
      </w:r>
    </w:p>
    <w:p w14:paraId="270A0352" w14:textId="7E1F59C2" w:rsidR="00B52D24" w:rsidRPr="00646469" w:rsidRDefault="00B52D24" w:rsidP="00646469">
      <w:pPr>
        <w:pStyle w:val="ListParagraph"/>
        <w:numPr>
          <w:ilvl w:val="0"/>
          <w:numId w:val="1"/>
        </w:numPr>
      </w:pPr>
      <w:r>
        <w:t>Safety evaluated in context of clinical trials, immunogenicity studies</w:t>
      </w:r>
      <w:r w:rsidR="00027033">
        <w:t xml:space="preserve"> or effectiveness studies</w:t>
      </w:r>
    </w:p>
    <w:p w14:paraId="3E8E743B" w14:textId="18CF82FA" w:rsidR="00646469" w:rsidRDefault="00B52D24" w:rsidP="00646469">
      <w:pPr>
        <w:pStyle w:val="ListParagraph"/>
        <w:numPr>
          <w:ilvl w:val="0"/>
          <w:numId w:val="1"/>
        </w:numPr>
      </w:pPr>
      <w:r>
        <w:t>A</w:t>
      </w:r>
      <w:r w:rsidR="00646469">
        <w:t xml:space="preserve">nalyses of passively collected safety data (e.g., VAERS, </w:t>
      </w:r>
      <w:proofErr w:type="spellStart"/>
      <w:r w:rsidR="00646469">
        <w:t>VigiBase</w:t>
      </w:r>
      <w:proofErr w:type="spellEnd"/>
      <w:r w:rsidR="00646469">
        <w:t>)</w:t>
      </w:r>
    </w:p>
    <w:p w14:paraId="54A1C1F2" w14:textId="77777777" w:rsidR="007379C2" w:rsidRDefault="007379C2" w:rsidP="007379C2">
      <w:pPr>
        <w:pStyle w:val="ListParagraph"/>
        <w:numPr>
          <w:ilvl w:val="0"/>
          <w:numId w:val="1"/>
        </w:numPr>
      </w:pPr>
      <w:r>
        <w:t>Studies evaluating diagnostic or detection methods of safety events</w:t>
      </w:r>
    </w:p>
    <w:p w14:paraId="7A0AE2B2" w14:textId="546F2CE6" w:rsidR="00554F61" w:rsidRDefault="00B52D24" w:rsidP="002C1686">
      <w:pPr>
        <w:pStyle w:val="ListParagraph"/>
        <w:numPr>
          <w:ilvl w:val="0"/>
          <w:numId w:val="1"/>
        </w:numPr>
      </w:pPr>
      <w:r>
        <w:t>S</w:t>
      </w:r>
      <w:r w:rsidR="00554F61">
        <w:t>ystematic reviews (but the citations of some highly relevant systematic reviews are reviewed to broaden sensitivity, however, this was not systematic)</w:t>
      </w:r>
    </w:p>
    <w:p w14:paraId="4EE7D941" w14:textId="4A0DF655" w:rsidR="00AF4593" w:rsidRDefault="00AF4593"/>
    <w:p w14:paraId="5476C785" w14:textId="77777777" w:rsidR="00D13D3D" w:rsidRDefault="00D13D3D" w:rsidP="000C2466">
      <w:pPr>
        <w:pStyle w:val="Heading2"/>
      </w:pPr>
      <w:bookmarkStart w:id="1" w:name="_Survey_of_Planned"/>
      <w:bookmarkStart w:id="2" w:name="_Appendix_1:_Literature"/>
      <w:bookmarkEnd w:id="1"/>
      <w:bookmarkEnd w:id="2"/>
    </w:p>
    <w:p w14:paraId="4284C9DC" w14:textId="77777777" w:rsidR="00A90525" w:rsidRDefault="00A90525" w:rsidP="00A90525">
      <w:pPr>
        <w:rPr>
          <w:sz w:val="20"/>
          <w:szCs w:val="20"/>
        </w:rPr>
      </w:pPr>
      <w:r>
        <w:rPr>
          <w:sz w:val="20"/>
          <w:szCs w:val="20"/>
        </w:rPr>
        <w:t xml:space="preserve">This project was conducted by: Maria Deloria Knoll, PhD, Parisa </w:t>
      </w:r>
      <w:proofErr w:type="spellStart"/>
      <w:r>
        <w:rPr>
          <w:sz w:val="20"/>
          <w:szCs w:val="20"/>
        </w:rPr>
        <w:t>Shamaei</w:t>
      </w:r>
      <w:proofErr w:type="spellEnd"/>
      <w:r>
        <w:rPr>
          <w:sz w:val="20"/>
          <w:szCs w:val="20"/>
        </w:rPr>
        <w:t xml:space="preserve"> Zadeh, Marley Jurgensmeyer, and Carmen Villamizar Jaimes at the International Vaccine Access Center, Department of International Health, Johns Hopkins Bloomberg School of Public Health, Baltimore, Maryland, USA; Emmanuelle Espié,</w:t>
      </w:r>
      <w:r>
        <w:t xml:space="preserve"> </w:t>
      </w:r>
      <w:r>
        <w:rPr>
          <w:sz w:val="20"/>
          <w:szCs w:val="20"/>
        </w:rPr>
        <w:t xml:space="preserve">DVM, MPH, PhD, and Rebecca Chandler, MD, at the Coalition for Epidemic Preparedness Innovations (CEPI), Oslo, Norway; and </w:t>
      </w:r>
      <w:proofErr w:type="spellStart"/>
      <w:r>
        <w:rPr>
          <w:sz w:val="20"/>
          <w:szCs w:val="20"/>
        </w:rPr>
        <w:t>Noha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MPharm</w:t>
      </w:r>
      <w:proofErr w:type="spellEnd"/>
      <w:r>
        <w:rPr>
          <w:sz w:val="20"/>
          <w:szCs w:val="20"/>
        </w:rPr>
        <w:t>, PhD, and Shanthi Narayan Pal, MD, at the World Health Organization (Headquarters), Geneva, Switzerland.</w:t>
      </w:r>
    </w:p>
    <w:p w14:paraId="7B40D722" w14:textId="77777777" w:rsidR="00A90525" w:rsidRDefault="00A90525" w:rsidP="00A90525">
      <w:pPr>
        <w:rPr>
          <w:sz w:val="20"/>
          <w:szCs w:val="20"/>
        </w:rPr>
      </w:pPr>
    </w:p>
    <w:p w14:paraId="018A27DF" w14:textId="77777777" w:rsidR="00A90525" w:rsidRDefault="00A90525" w:rsidP="00A9052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Funding:</w:t>
      </w:r>
      <w:r>
        <w:rPr>
          <w:sz w:val="20"/>
          <w:szCs w:val="20"/>
        </w:rPr>
        <w:t xml:space="preserve"> Support for this project was provided by the Coalition for Epidemic Preparedness Innovations (CEPI).</w:t>
      </w:r>
    </w:p>
    <w:p w14:paraId="63898A11" w14:textId="77777777" w:rsidR="0004127C" w:rsidRDefault="0004127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894E536" w14:textId="47DF7B49" w:rsidR="00AD7CD5" w:rsidRDefault="00AD7CD5" w:rsidP="000C2466">
      <w:pPr>
        <w:pStyle w:val="Heading2"/>
      </w:pPr>
      <w:bookmarkStart w:id="3" w:name="_Appendix_1:_Adverse"/>
      <w:bookmarkStart w:id="4" w:name="_Toc118484496"/>
      <w:bookmarkEnd w:id="3"/>
      <w:r>
        <w:lastRenderedPageBreak/>
        <w:t xml:space="preserve">Appendix 1: </w:t>
      </w:r>
      <w:r w:rsidR="004515EE">
        <w:t>Adverse Events of</w:t>
      </w:r>
      <w:r w:rsidR="00981461">
        <w:t xml:space="preserve"> Special</w:t>
      </w:r>
      <w:r w:rsidR="004515EE">
        <w:t xml:space="preserve"> Interest</w:t>
      </w:r>
      <w:bookmarkEnd w:id="4"/>
      <w:r w:rsidR="004515EE">
        <w:t xml:space="preserve"> </w:t>
      </w:r>
    </w:p>
    <w:p w14:paraId="2D31B0F6" w14:textId="4DECDAC2" w:rsidR="00AD7CD5" w:rsidRDefault="00AD7CD5" w:rsidP="00AD7CD5"/>
    <w:p w14:paraId="51B2D346" w14:textId="257E21A0" w:rsidR="00AD7CD5" w:rsidRDefault="004C253E" w:rsidP="00AD7CD5">
      <w:r>
        <w:t xml:space="preserve">Specific studies </w:t>
      </w:r>
      <w:r w:rsidR="00313EBC">
        <w:t xml:space="preserve">classified as </w:t>
      </w:r>
      <w:r w:rsidR="007A4008">
        <w:t>A</w:t>
      </w:r>
      <w:r w:rsidR="00313EBC">
        <w:t xml:space="preserve">dverse </w:t>
      </w:r>
      <w:r w:rsidR="007A4008">
        <w:t>E</w:t>
      </w:r>
      <w:r w:rsidR="00313EBC">
        <w:t xml:space="preserve">vent of </w:t>
      </w:r>
      <w:r w:rsidR="007A4008">
        <w:t>S</w:t>
      </w:r>
      <w:r w:rsidR="00313EBC">
        <w:t xml:space="preserve">pecial </w:t>
      </w:r>
      <w:r w:rsidR="007A4008">
        <w:t>I</w:t>
      </w:r>
      <w:r w:rsidR="00313EBC">
        <w:t>nterest (AESI), as determined by the Brighton Collaboration</w:t>
      </w:r>
      <w:r>
        <w:t>, were sought for specifically in the search criteria, among other studies (see Appendix 2 below)</w:t>
      </w:r>
      <w:r w:rsidR="00313EBC">
        <w:t xml:space="preserve">. </w:t>
      </w:r>
      <w:r w:rsidR="00E2637E">
        <w:t xml:space="preserve">The Brighton Collaboration created a list of </w:t>
      </w:r>
      <w:r w:rsidR="00313EBC">
        <w:t xml:space="preserve">AESIs </w:t>
      </w:r>
      <w:r w:rsidR="00E2637E">
        <w:t>pertaining to COVID-19 vaccines</w:t>
      </w:r>
      <w:r w:rsidR="00313EBC">
        <w:t xml:space="preserve"> (below</w:t>
      </w:r>
      <w:r w:rsidR="00313EBC" w:rsidRPr="00313EBC">
        <w:t xml:space="preserve"> </w:t>
      </w:r>
      <w:r w:rsidR="00313EBC">
        <w:t xml:space="preserve">and </w:t>
      </w:r>
      <w:hyperlink r:id="rId13" w:history="1">
        <w:r w:rsidR="00313EBC" w:rsidRPr="00EB05D9">
          <w:rPr>
            <w:rStyle w:val="Hyperlink"/>
          </w:rPr>
          <w:t>here</w:t>
        </w:r>
      </w:hyperlink>
      <w:r w:rsidR="00313EBC">
        <w:t>)</w:t>
      </w:r>
      <w:r w:rsidR="00E2637E">
        <w:t xml:space="preserve">. </w:t>
      </w:r>
      <w:r w:rsidR="009C0BC2">
        <w:t xml:space="preserve">The AESIs are categorized </w:t>
      </w:r>
      <w:r w:rsidR="00E2637E">
        <w:t xml:space="preserve">according to level of association: </w:t>
      </w:r>
      <w:r w:rsidR="00313EBC">
        <w:t>those</w:t>
      </w:r>
      <w:r w:rsidR="009C0BC2">
        <w:t xml:space="preserve"> seen with COVID-19 disease, </w:t>
      </w:r>
      <w:r w:rsidR="00313EBC">
        <w:t>those that</w:t>
      </w:r>
      <w:r w:rsidR="009C0BC2">
        <w:t xml:space="preserve"> have a proven or theoretical association with immunization in general, and </w:t>
      </w:r>
      <w:r w:rsidR="00313EBC">
        <w:t xml:space="preserve">those that </w:t>
      </w:r>
      <w:r w:rsidR="009C0BC2">
        <w:t xml:space="preserve">have a proven or theoretical association with specific vaccine platforms. </w:t>
      </w:r>
    </w:p>
    <w:p w14:paraId="05865608" w14:textId="77777777" w:rsidR="00313EBC" w:rsidRDefault="00313EBC" w:rsidP="00AD7CD5"/>
    <w:p w14:paraId="74619D30" w14:textId="71CB6F74" w:rsidR="009C0BC2" w:rsidRDefault="00313EBC">
      <w:r>
        <w:t xml:space="preserve">Articles that describe any </w:t>
      </w:r>
      <w:r w:rsidR="009C0BC2">
        <w:t>AESI</w:t>
      </w:r>
      <w:r w:rsidR="00E2637E">
        <w:t xml:space="preserve">s on the </w:t>
      </w:r>
      <w:r w:rsidR="009C0BC2">
        <w:t xml:space="preserve">Brighton Collaboration </w:t>
      </w:r>
      <w:r w:rsidR="00E2637E">
        <w:t xml:space="preserve">list </w:t>
      </w:r>
      <w:r>
        <w:t>are flagged as having that AESI</w:t>
      </w:r>
      <w:r w:rsidR="009C0BC2">
        <w:t xml:space="preserve">. </w:t>
      </w:r>
      <w:r>
        <w:t xml:space="preserve">Articles with specific AESIs </w:t>
      </w:r>
      <w:r w:rsidR="003A5F8E">
        <w:t xml:space="preserve">are flagged and </w:t>
      </w:r>
      <w:r>
        <w:t xml:space="preserve">can be searched for on the </w:t>
      </w:r>
      <w:r w:rsidR="009C0BC2">
        <w:t xml:space="preserve">VIEW-hub </w:t>
      </w:r>
      <w:r>
        <w:t>safety module</w:t>
      </w:r>
      <w:r w:rsidR="00EB05D9">
        <w:t>.</w:t>
      </w:r>
    </w:p>
    <w:p w14:paraId="49AC9ABE" w14:textId="39C6DE6E" w:rsidR="004515EE" w:rsidRDefault="004515EE"/>
    <w:p w14:paraId="1D4FE28D" w14:textId="31B91484" w:rsidR="00665455" w:rsidRPr="008F1635" w:rsidRDefault="00665455">
      <w:pPr>
        <w:rPr>
          <w:b/>
          <w:bCs/>
        </w:rPr>
      </w:pPr>
      <w:r w:rsidRPr="008F1635">
        <w:rPr>
          <w:b/>
          <w:bCs/>
        </w:rPr>
        <w:t>Table. Brighton Collaboration list of Adverse Events of Special Interest (AESI)</w:t>
      </w:r>
    </w:p>
    <w:p w14:paraId="46D30C9F" w14:textId="4D2F0798" w:rsidR="004515EE" w:rsidRDefault="004515EE">
      <w:r>
        <w:rPr>
          <w:noProof/>
        </w:rPr>
        <w:drawing>
          <wp:inline distT="0" distB="0" distL="0" distR="0" wp14:anchorId="2043271D" wp14:editId="79F62289">
            <wp:extent cx="5168348" cy="4817718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029" cy="48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1E34" w14:textId="4C52C14C" w:rsidR="004515EE" w:rsidRPr="00DB4FE2" w:rsidRDefault="004515EE" w:rsidP="005623D1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  <w:vertAlign w:val="superscript"/>
        </w:rPr>
        <w:t>1</w:t>
      </w:r>
      <w:r w:rsidRPr="00DB4FE2">
        <w:rPr>
          <w:i/>
          <w:iCs/>
          <w:sz w:val="20"/>
          <w:szCs w:val="20"/>
        </w:rPr>
        <w:t>Proven association with immunization encompassing several different vaccines</w:t>
      </w:r>
    </w:p>
    <w:p w14:paraId="039225C1" w14:textId="79CA3DB7" w:rsidR="004515EE" w:rsidRPr="00DB4FE2" w:rsidRDefault="004515EE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  <w:vertAlign w:val="superscript"/>
        </w:rPr>
        <w:t>2</w:t>
      </w:r>
      <w:r w:rsidRPr="00DB4FE2">
        <w:rPr>
          <w:i/>
          <w:iCs/>
          <w:sz w:val="20"/>
          <w:szCs w:val="20"/>
        </w:rPr>
        <w:t>Proven association with vaccine that could theoretically be true for novel COVID-19 vaccines</w:t>
      </w:r>
    </w:p>
    <w:p w14:paraId="5B82AC0A" w14:textId="3FFDB978" w:rsidR="004515EE" w:rsidRPr="00DB4FE2" w:rsidRDefault="004515EE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  <w:vertAlign w:val="superscript"/>
        </w:rPr>
        <w:t>3</w:t>
      </w:r>
      <w:r w:rsidRPr="00DB4FE2">
        <w:rPr>
          <w:i/>
          <w:iCs/>
          <w:sz w:val="20"/>
          <w:szCs w:val="20"/>
        </w:rPr>
        <w:t>Theoretical concern based on wild type disease immunopathogenesis</w:t>
      </w:r>
    </w:p>
    <w:p w14:paraId="2B077EDE" w14:textId="772AA30C" w:rsidR="004515EE" w:rsidRPr="00DB4FE2" w:rsidRDefault="004515EE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  <w:vertAlign w:val="superscript"/>
        </w:rPr>
        <w:t>4</w:t>
      </w:r>
      <w:r w:rsidRPr="00DB4FE2">
        <w:rPr>
          <w:i/>
          <w:iCs/>
          <w:sz w:val="20"/>
          <w:szCs w:val="20"/>
        </w:rPr>
        <w:t>Theoretical concern related to viral replication during wild type disease</w:t>
      </w:r>
    </w:p>
    <w:p w14:paraId="61399C87" w14:textId="79C5B198" w:rsidR="004515EE" w:rsidRPr="00DB4FE2" w:rsidRDefault="004515EE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  <w:vertAlign w:val="superscript"/>
        </w:rPr>
        <w:lastRenderedPageBreak/>
        <w:t>5</w:t>
      </w:r>
      <w:r w:rsidRPr="00DB4FE2">
        <w:rPr>
          <w:i/>
          <w:iCs/>
          <w:sz w:val="20"/>
          <w:szCs w:val="20"/>
        </w:rPr>
        <w:t xml:space="preserve">Theoretical concern because it has been demonstrated in an animal model with </w:t>
      </w:r>
      <w:r w:rsidRPr="00DB4FE2">
        <w:rPr>
          <w:i/>
          <w:iCs/>
          <w:sz w:val="20"/>
          <w:szCs w:val="20"/>
        </w:rPr>
        <w:sym w:font="Symbol" w:char="F0B3"/>
      </w:r>
      <w:r w:rsidRPr="00DB4FE2">
        <w:rPr>
          <w:i/>
          <w:iCs/>
          <w:sz w:val="20"/>
          <w:szCs w:val="20"/>
        </w:rPr>
        <w:t xml:space="preserve"> 1 vaccine platform</w:t>
      </w:r>
    </w:p>
    <w:p w14:paraId="6A200E74" w14:textId="14EA715A" w:rsidR="004515EE" w:rsidRPr="00DB4FE2" w:rsidRDefault="004515EE" w:rsidP="005623D1">
      <w:pPr>
        <w:ind w:left="90" w:hanging="90"/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>*Acute kidney injury – international consensus definition proposed by the Kidney Disease Improving Global Outcomes expert consensus group (</w:t>
      </w:r>
      <w:hyperlink r:id="rId15" w:history="1">
        <w:r w:rsidRPr="00DB4FE2">
          <w:rPr>
            <w:rStyle w:val="Hyperlink"/>
            <w:i/>
            <w:iCs/>
            <w:sz w:val="20"/>
            <w:szCs w:val="20"/>
          </w:rPr>
          <w:t>www.kdigo.org</w:t>
        </w:r>
      </w:hyperlink>
      <w:r w:rsidRPr="00DB4FE2">
        <w:rPr>
          <w:i/>
          <w:iCs/>
          <w:sz w:val="20"/>
          <w:szCs w:val="20"/>
        </w:rPr>
        <w:t xml:space="preserve">) </w:t>
      </w:r>
    </w:p>
    <w:p w14:paraId="4818350C" w14:textId="131CEE7B" w:rsidR="004515EE" w:rsidRPr="00DB4FE2" w:rsidRDefault="004515EE" w:rsidP="005623D1">
      <w:pPr>
        <w:pStyle w:val="ListParagraph"/>
        <w:numPr>
          <w:ilvl w:val="0"/>
          <w:numId w:val="11"/>
        </w:numPr>
        <w:ind w:hanging="180"/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 xml:space="preserve">Increase in serum creatinine by </w:t>
      </w:r>
      <w:r w:rsidRPr="00DB4FE2">
        <w:rPr>
          <w:i/>
          <w:iCs/>
          <w:sz w:val="20"/>
          <w:szCs w:val="20"/>
        </w:rPr>
        <w:sym w:font="Symbol" w:char="F0B3"/>
      </w:r>
      <w:r w:rsidRPr="00DB4FE2">
        <w:rPr>
          <w:i/>
          <w:iCs/>
          <w:sz w:val="20"/>
          <w:szCs w:val="20"/>
        </w:rPr>
        <w:t xml:space="preserve"> 0.3 mg/dl (</w:t>
      </w:r>
      <w:r w:rsidRPr="00DB4FE2">
        <w:rPr>
          <w:i/>
          <w:iCs/>
          <w:sz w:val="20"/>
          <w:szCs w:val="20"/>
        </w:rPr>
        <w:sym w:font="Symbol" w:char="F0B3"/>
      </w:r>
      <w:r w:rsidRPr="00DB4FE2">
        <w:rPr>
          <w:i/>
          <w:iCs/>
          <w:sz w:val="20"/>
          <w:szCs w:val="20"/>
        </w:rPr>
        <w:t xml:space="preserve">26.5 </w:t>
      </w:r>
      <w:proofErr w:type="spellStart"/>
      <w:r w:rsidRPr="00DB4FE2">
        <w:rPr>
          <w:i/>
          <w:iCs/>
          <w:sz w:val="20"/>
          <w:szCs w:val="20"/>
        </w:rPr>
        <w:t>umol</w:t>
      </w:r>
      <w:proofErr w:type="spellEnd"/>
      <w:r w:rsidRPr="00DB4FE2">
        <w:rPr>
          <w:i/>
          <w:iCs/>
          <w:sz w:val="20"/>
          <w:szCs w:val="20"/>
        </w:rPr>
        <w:t>/l) within 48 hours; OR</w:t>
      </w:r>
    </w:p>
    <w:p w14:paraId="57F5A57F" w14:textId="671F5EB9" w:rsidR="004515EE" w:rsidRPr="00DB4FE2" w:rsidRDefault="004515EE" w:rsidP="005623D1">
      <w:pPr>
        <w:pStyle w:val="ListParagraph"/>
        <w:numPr>
          <w:ilvl w:val="0"/>
          <w:numId w:val="11"/>
        </w:numPr>
        <w:ind w:hanging="180"/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 xml:space="preserve">Increase in serum creatinine to </w:t>
      </w:r>
      <w:r w:rsidRPr="00DB4FE2">
        <w:rPr>
          <w:i/>
          <w:iCs/>
          <w:sz w:val="20"/>
          <w:szCs w:val="20"/>
        </w:rPr>
        <w:sym w:font="Symbol" w:char="F0B3"/>
      </w:r>
      <w:r w:rsidRPr="00DB4FE2">
        <w:rPr>
          <w:i/>
          <w:iCs/>
          <w:sz w:val="20"/>
          <w:szCs w:val="20"/>
        </w:rPr>
        <w:t xml:space="preserve"> 1.5 times baseline, known or presumed to have occurred within prior 7 days OR</w:t>
      </w:r>
    </w:p>
    <w:p w14:paraId="3981C110" w14:textId="2FE50979" w:rsidR="004515EE" w:rsidRPr="00DB4FE2" w:rsidRDefault="004515EE" w:rsidP="005623D1">
      <w:pPr>
        <w:pStyle w:val="ListParagraph"/>
        <w:numPr>
          <w:ilvl w:val="0"/>
          <w:numId w:val="11"/>
        </w:numPr>
        <w:ind w:hanging="180"/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 xml:space="preserve">Urine volume </w:t>
      </w:r>
      <w:r w:rsidRPr="00DB4FE2">
        <w:rPr>
          <w:i/>
          <w:iCs/>
          <w:sz w:val="20"/>
          <w:szCs w:val="20"/>
        </w:rPr>
        <w:sym w:font="Symbol" w:char="F0A3"/>
      </w:r>
      <w:r w:rsidRPr="00DB4FE2">
        <w:rPr>
          <w:i/>
          <w:iCs/>
          <w:sz w:val="20"/>
          <w:szCs w:val="20"/>
        </w:rPr>
        <w:t>0.5 ml/kg/hour for 6 hours</w:t>
      </w:r>
    </w:p>
    <w:p w14:paraId="00A92647" w14:textId="0DDCD3D4" w:rsidR="004515EE" w:rsidRPr="00DB4FE2" w:rsidRDefault="004515EE" w:rsidP="005623D1">
      <w:pPr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># Acute liver injury – definition as used in majority of COVID-19 publications (but no international consensus):</w:t>
      </w:r>
    </w:p>
    <w:p w14:paraId="6BB718AC" w14:textId="7E29E094" w:rsidR="00DB4FE2" w:rsidRPr="00DB4FE2" w:rsidRDefault="00DB4FE2" w:rsidP="005623D1">
      <w:pPr>
        <w:pStyle w:val="ListParagraph"/>
        <w:numPr>
          <w:ilvl w:val="0"/>
          <w:numId w:val="12"/>
        </w:numPr>
        <w:ind w:left="360" w:hanging="180"/>
        <w:rPr>
          <w:i/>
          <w:iCs/>
          <w:sz w:val="20"/>
          <w:szCs w:val="20"/>
        </w:rPr>
      </w:pPr>
      <w:r w:rsidRPr="00DB4FE2">
        <w:rPr>
          <w:i/>
          <w:iCs/>
          <w:sz w:val="20"/>
          <w:szCs w:val="20"/>
        </w:rPr>
        <w:t>&gt; 3-fold elevation above the upper normal limit for ALT or AST OR</w:t>
      </w:r>
    </w:p>
    <w:p w14:paraId="27999A7C" w14:textId="1697EB2B" w:rsidR="00DB4FE2" w:rsidRPr="00DB4FE2" w:rsidRDefault="00DB4FE2" w:rsidP="005623D1">
      <w:pPr>
        <w:pStyle w:val="ListParagraph"/>
        <w:numPr>
          <w:ilvl w:val="0"/>
          <w:numId w:val="12"/>
        </w:numPr>
        <w:ind w:left="360" w:hanging="180"/>
        <w:rPr>
          <w:sz w:val="20"/>
          <w:szCs w:val="20"/>
        </w:rPr>
      </w:pPr>
      <w:r w:rsidRPr="00DB4FE2">
        <w:rPr>
          <w:i/>
          <w:iCs/>
          <w:sz w:val="20"/>
          <w:szCs w:val="20"/>
        </w:rPr>
        <w:t>&gt; 2-fold elevation above the upper normal limit for total serum bilirubin or GGT or ALP</w:t>
      </w:r>
    </w:p>
    <w:p w14:paraId="320FDF85" w14:textId="627E673C" w:rsidR="00AD7CD5" w:rsidRPr="00AD7CD5" w:rsidRDefault="00AD7CD5">
      <w:r>
        <w:br w:type="page"/>
      </w:r>
    </w:p>
    <w:p w14:paraId="3C08B90A" w14:textId="6BD11ED8" w:rsidR="002C1686" w:rsidRDefault="002C1686" w:rsidP="000C2466">
      <w:pPr>
        <w:pStyle w:val="Heading2"/>
      </w:pPr>
      <w:bookmarkStart w:id="5" w:name="_Appendix_2:_Literature"/>
      <w:bookmarkStart w:id="6" w:name="_Toc118484497"/>
      <w:bookmarkEnd w:id="5"/>
      <w:r>
        <w:lastRenderedPageBreak/>
        <w:t>Appendix</w:t>
      </w:r>
      <w:r w:rsidR="008737D9">
        <w:t xml:space="preserve"> </w:t>
      </w:r>
      <w:r w:rsidR="00AD7CD5">
        <w:t>2</w:t>
      </w:r>
      <w:r>
        <w:t>: Literature Search Terms</w:t>
      </w:r>
      <w:bookmarkEnd w:id="6"/>
    </w:p>
    <w:p w14:paraId="56B20104" w14:textId="05DDCB20" w:rsidR="002C1686" w:rsidRDefault="002C1686"/>
    <w:p w14:paraId="49422FCA" w14:textId="3CA475A7" w:rsidR="002C1686" w:rsidRDefault="002C1686" w:rsidP="002C1686">
      <w:r w:rsidRPr="002C1686">
        <w:rPr>
          <w:u w:val="single"/>
        </w:rPr>
        <w:t>PubMed</w:t>
      </w:r>
      <w:r>
        <w:t>:</w:t>
      </w:r>
    </w:p>
    <w:p w14:paraId="0B3033A6" w14:textId="77777777" w:rsidR="002C1686" w:rsidRDefault="002C1686" w:rsidP="002C1686"/>
    <w:p w14:paraId="29E915AF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 xml:space="preserve">(( </w:t>
      </w:r>
      <w:r w:rsidRPr="00237C1B">
        <w:rPr>
          <w:rFonts w:cstheme="minorHAnsi"/>
          <w:sz w:val="20"/>
          <w:szCs w:val="20"/>
        </w:rPr>
        <w:tab/>
        <w:t>("Severe Acute Respiratory Syndrome"[mesh] OR “SARS”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“SARS-CoV-2”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]) AND  “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("COVID-19 Vaccines"[mesh] OR "COVID 19 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"COVID19 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"COVID-19 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"SARS-CoV-2 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"Coronavirus Disease 2019 </w:t>
      </w:r>
      <w:proofErr w:type="spellStart"/>
      <w:r w:rsidRPr="00237C1B">
        <w:rPr>
          <w:rFonts w:cstheme="minorHAnsi"/>
          <w:sz w:val="20"/>
          <w:szCs w:val="20"/>
        </w:rPr>
        <w:t>Vaccin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)</w:t>
      </w:r>
      <w:r w:rsidRPr="00237C1B">
        <w:rPr>
          <w:rFonts w:cstheme="minorHAnsi"/>
          <w:sz w:val="20"/>
          <w:szCs w:val="20"/>
        </w:rPr>
        <w:tab/>
        <w:t>)</w:t>
      </w:r>
    </w:p>
    <w:p w14:paraId="6DF1A247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</w:p>
    <w:p w14:paraId="69EB7779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 xml:space="preserve">AND  </w:t>
      </w:r>
    </w:p>
    <w:p w14:paraId="09535C90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</w:p>
    <w:p w14:paraId="5E12C099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(</w:t>
      </w:r>
      <w:r w:rsidRPr="00237C1B">
        <w:rPr>
          <w:rFonts w:cstheme="minorHAnsi"/>
          <w:sz w:val="20"/>
          <w:szCs w:val="20"/>
        </w:rPr>
        <w:tab/>
        <w:t>("adverse effect*"[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OR "adverse event*"[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OR "safety"[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OR "side effect*"[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]) OR ("Myocarditis"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"pericarditis"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"Guillain-Barre Syndrome"[mesh] OR “Acute Inflammatory </w:t>
      </w:r>
      <w:proofErr w:type="spellStart"/>
      <w:r w:rsidRPr="00237C1B">
        <w:rPr>
          <w:rFonts w:cstheme="minorHAnsi"/>
          <w:sz w:val="20"/>
          <w:szCs w:val="20"/>
        </w:rPr>
        <w:t>Polyneuropath</w:t>
      </w:r>
      <w:proofErr w:type="spellEnd"/>
      <w:r w:rsidRPr="00237C1B">
        <w:rPr>
          <w:rFonts w:cstheme="minorHAnsi"/>
          <w:sz w:val="20"/>
          <w:szCs w:val="20"/>
        </w:rPr>
        <w:t>*”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</w:t>
      </w:r>
      <w:proofErr w:type="spellStart"/>
      <w:r w:rsidRPr="00237C1B">
        <w:rPr>
          <w:rFonts w:cstheme="minorHAnsi"/>
          <w:sz w:val="20"/>
          <w:szCs w:val="20"/>
        </w:rPr>
        <w:t>Guillain-barre</w:t>
      </w:r>
      <w:proofErr w:type="spellEnd"/>
      <w:r w:rsidRPr="00237C1B">
        <w:rPr>
          <w:rFonts w:cstheme="minorHAnsi"/>
          <w:sz w:val="20"/>
          <w:szCs w:val="20"/>
        </w:rPr>
        <w:t xml:space="preserve"> syndrome"[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"acute autoimmune neuropath*"[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 Acute Infectious Polyneuritis"[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 "Facial Paralysis"[Mesh] OR “Facial Pals*”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 OR "facial </w:t>
      </w:r>
      <w:proofErr w:type="spellStart"/>
      <w:r w:rsidRPr="00237C1B">
        <w:rPr>
          <w:rFonts w:cstheme="minorHAnsi"/>
          <w:sz w:val="20"/>
          <w:szCs w:val="20"/>
        </w:rPr>
        <w:t>paralys</w:t>
      </w:r>
      <w:proofErr w:type="spellEnd"/>
      <w:r w:rsidRPr="00237C1B">
        <w:rPr>
          <w:rFonts w:cstheme="minorHAnsi"/>
          <w:sz w:val="20"/>
          <w:szCs w:val="20"/>
        </w:rPr>
        <w:t>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“Encephalomyelitis, Acute Disseminated”[mesh] OR “Post-Vaccinal Encephalitis”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"Thrombocytopenia"[Mesh] OR “Thrombopenia”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"Anosmia"[Mesh] OR “ Smell Loss”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"loss of smell"[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"Ageusia"[mesh] OR  “ Taste Loss”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"loss of taste"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“Anaphylaxis” [mesh] OR “anaphylactic Shock”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 Anaphylactic Reaction”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 Blood Coagulation Disorders” [mesh] OR "Blood Coagulation Disorder*"[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“Seizures” [mesh] OR “Convulsion”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"seizure*"[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"Petit Mal"[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"grand mal"[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“vaccine associated enhanced disease”[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“acute cardiovascular injury”[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])</w:t>
      </w:r>
      <w:r w:rsidRPr="00237C1B">
        <w:rPr>
          <w:rFonts w:cstheme="minorHAnsi"/>
          <w:sz w:val="20"/>
          <w:szCs w:val="20"/>
        </w:rPr>
        <w:tab/>
        <w:t>)</w:t>
      </w:r>
    </w:p>
    <w:p w14:paraId="1073A7F1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</w:p>
    <w:p w14:paraId="3FFE93C7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AND</w:t>
      </w:r>
    </w:p>
    <w:p w14:paraId="24782138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 xml:space="preserve"> </w:t>
      </w:r>
    </w:p>
    <w:p w14:paraId="2F9F38B6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(</w:t>
      </w:r>
      <w:r w:rsidRPr="00237C1B">
        <w:rPr>
          <w:rFonts w:cstheme="minorHAnsi"/>
          <w:sz w:val="20"/>
          <w:szCs w:val="20"/>
        </w:rPr>
        <w:tab/>
        <w:t>("observational" [</w:t>
      </w:r>
      <w:proofErr w:type="spellStart"/>
      <w:r w:rsidRPr="00237C1B">
        <w:rPr>
          <w:rFonts w:cstheme="minorHAnsi"/>
          <w:sz w:val="20"/>
          <w:szCs w:val="20"/>
        </w:rPr>
        <w:t>tiab</w:t>
      </w:r>
      <w:proofErr w:type="spellEnd"/>
      <w:r w:rsidRPr="00237C1B">
        <w:rPr>
          <w:rFonts w:cstheme="minorHAnsi"/>
          <w:sz w:val="20"/>
          <w:szCs w:val="20"/>
        </w:rPr>
        <w:t>] OR "follow-up study" [</w:t>
      </w:r>
      <w:proofErr w:type="spellStart"/>
      <w:r w:rsidRPr="00237C1B">
        <w:rPr>
          <w:rFonts w:cstheme="minorHAnsi"/>
          <w:sz w:val="20"/>
          <w:szCs w:val="20"/>
        </w:rPr>
        <w:t>tiab</w:t>
      </w:r>
      <w:proofErr w:type="spellEnd"/>
      <w:r w:rsidRPr="00237C1B">
        <w:rPr>
          <w:rFonts w:cstheme="minorHAnsi"/>
          <w:sz w:val="20"/>
          <w:szCs w:val="20"/>
        </w:rPr>
        <w:t>] OR "prospective*"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"longitudinal" )  OR "study"[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 OR "rates"[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"incidence"[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 xml:space="preserve">] OR ("product surveillance, </w:t>
      </w:r>
      <w:proofErr w:type="spellStart"/>
      <w:r w:rsidRPr="00237C1B">
        <w:rPr>
          <w:rFonts w:cstheme="minorHAnsi"/>
          <w:sz w:val="20"/>
          <w:szCs w:val="20"/>
        </w:rPr>
        <w:t>postmarketing</w:t>
      </w:r>
      <w:proofErr w:type="spellEnd"/>
      <w:r w:rsidRPr="00237C1B">
        <w:rPr>
          <w:rFonts w:cstheme="minorHAnsi"/>
          <w:sz w:val="20"/>
          <w:szCs w:val="20"/>
        </w:rPr>
        <w:t>"[Mesh] OR "post-marketing"[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OR "</w:t>
      </w:r>
      <w:proofErr w:type="spellStart"/>
      <w:r w:rsidRPr="00237C1B">
        <w:rPr>
          <w:rFonts w:cstheme="minorHAnsi"/>
          <w:sz w:val="20"/>
          <w:szCs w:val="20"/>
        </w:rPr>
        <w:t>postmarketing</w:t>
      </w:r>
      <w:proofErr w:type="spellEnd"/>
      <w:r w:rsidRPr="00237C1B">
        <w:rPr>
          <w:rFonts w:cstheme="minorHAnsi"/>
          <w:sz w:val="20"/>
          <w:szCs w:val="20"/>
        </w:rPr>
        <w:t>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)</w:t>
      </w:r>
      <w:r w:rsidRPr="00237C1B">
        <w:rPr>
          <w:rFonts w:cstheme="minorHAnsi"/>
          <w:sz w:val="20"/>
          <w:szCs w:val="20"/>
        </w:rPr>
        <w:tab/>
        <w:t>))</w:t>
      </w:r>
    </w:p>
    <w:p w14:paraId="0A4F7004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</w:p>
    <w:p w14:paraId="24891163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NOT hesitancy 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NOT attitude[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 xml:space="preserve">] </w:t>
      </w:r>
    </w:p>
    <w:p w14:paraId="396CC4D4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NOT  "cross-sectional"[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 NOT ("case*"[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AND "report"[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]) NOT "predict*"[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 NOT "case study"[</w:t>
      </w:r>
      <w:proofErr w:type="spellStart"/>
      <w:r w:rsidRPr="00237C1B">
        <w:rPr>
          <w:rFonts w:cstheme="minorHAnsi"/>
          <w:sz w:val="20"/>
          <w:szCs w:val="20"/>
        </w:rPr>
        <w:t>ti</w:t>
      </w:r>
      <w:proofErr w:type="spellEnd"/>
      <w:r w:rsidRPr="00237C1B">
        <w:rPr>
          <w:rFonts w:cstheme="minorHAnsi"/>
          <w:sz w:val="20"/>
          <w:szCs w:val="20"/>
        </w:rPr>
        <w:t>]</w:t>
      </w:r>
    </w:p>
    <w:p w14:paraId="1CC7C5E5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</w:p>
    <w:p w14:paraId="36FFA39B" w14:textId="77777777" w:rsidR="00237C1B" w:rsidRPr="00237C1B" w:rsidRDefault="00237C1B" w:rsidP="00237C1B">
      <w:pPr>
        <w:rPr>
          <w:rFonts w:cstheme="minorHAnsi"/>
          <w:sz w:val="20"/>
          <w:szCs w:val="20"/>
        </w:rPr>
      </w:pPr>
      <w:r w:rsidRPr="00237C1B">
        <w:rPr>
          <w:rFonts w:cstheme="minorHAnsi"/>
          <w:sz w:val="20"/>
          <w:szCs w:val="20"/>
        </w:rPr>
        <w:t>NOT "review"[publication type] NOT "Systematic Review"[publication type] NOT "Systematic Review"[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</w:t>
      </w:r>
    </w:p>
    <w:p w14:paraId="3A6EF5F1" w14:textId="5E8D0E83" w:rsidR="005E01F2" w:rsidRPr="005E01F2" w:rsidRDefault="00237C1B">
      <w:r w:rsidRPr="00237C1B">
        <w:rPr>
          <w:rFonts w:cstheme="minorHAnsi"/>
          <w:sz w:val="20"/>
          <w:szCs w:val="20"/>
        </w:rPr>
        <w:t>NOT  "Clinical Trial" [Publication Type] NOT "Controlled Clinical Trial" [Publication Type] NOT "trial" [</w:t>
      </w:r>
      <w:proofErr w:type="spellStart"/>
      <w:r w:rsidRPr="00237C1B">
        <w:rPr>
          <w:rFonts w:cstheme="minorHAnsi"/>
          <w:sz w:val="20"/>
          <w:szCs w:val="20"/>
        </w:rPr>
        <w:t>tw</w:t>
      </w:r>
      <w:proofErr w:type="spellEnd"/>
      <w:r w:rsidRPr="00237C1B">
        <w:rPr>
          <w:rFonts w:cstheme="minorHAnsi"/>
          <w:sz w:val="20"/>
          <w:szCs w:val="20"/>
        </w:rPr>
        <w:t>]</w:t>
      </w:r>
      <w:r w:rsidRPr="00237C1B" w:rsidDel="004C253E">
        <w:rPr>
          <w:rFonts w:cstheme="minorHAnsi"/>
          <w:sz w:val="20"/>
          <w:szCs w:val="20"/>
        </w:rPr>
        <w:t xml:space="preserve"> </w:t>
      </w:r>
      <w:bookmarkStart w:id="7" w:name="_Appendix_2:_Survey"/>
      <w:bookmarkEnd w:id="7"/>
    </w:p>
    <w:sectPr w:rsidR="005E01F2" w:rsidRPr="005E01F2" w:rsidSect="008F1635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2130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CB56" w14:textId="77777777" w:rsidR="00E52482" w:rsidRDefault="00E52482" w:rsidP="00A706B1">
      <w:r>
        <w:separator/>
      </w:r>
    </w:p>
  </w:endnote>
  <w:endnote w:type="continuationSeparator" w:id="0">
    <w:p w14:paraId="00253812" w14:textId="77777777" w:rsidR="00E52482" w:rsidRDefault="00E52482" w:rsidP="00A7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E0A4" w14:textId="377916F4" w:rsidR="004E470A" w:rsidRDefault="004E47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725D77" wp14:editId="1DEB06A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4" name="Text Box 4" descr="Sensitivity: CEPI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85032" w14:textId="37496CE0" w:rsidR="004E470A" w:rsidRPr="004E470A" w:rsidRDefault="004E47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47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B725D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nsitivity: CEPI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D985032" w14:textId="37496CE0" w:rsidR="004E470A" w:rsidRPr="004E470A" w:rsidRDefault="004E47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47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C8F2" w14:textId="5D0F190F" w:rsidR="00D0553C" w:rsidRDefault="00000000">
    <w:pPr>
      <w:pStyle w:val="Footer"/>
      <w:jc w:val="right"/>
    </w:pPr>
    <w:sdt>
      <w:sdtPr>
        <w:id w:val="-1930887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553C">
          <w:fldChar w:fldCharType="begin"/>
        </w:r>
        <w:r w:rsidR="00D0553C">
          <w:instrText xml:space="preserve"> PAGE   \* MERGEFORMAT </w:instrText>
        </w:r>
        <w:r w:rsidR="00D0553C">
          <w:fldChar w:fldCharType="separate"/>
        </w:r>
        <w:r w:rsidR="00D0553C">
          <w:rPr>
            <w:noProof/>
          </w:rPr>
          <w:t>2</w:t>
        </w:r>
        <w:r w:rsidR="00D0553C">
          <w:rPr>
            <w:noProof/>
          </w:rPr>
          <w:fldChar w:fldCharType="end"/>
        </w:r>
      </w:sdtContent>
    </w:sdt>
  </w:p>
  <w:p w14:paraId="3B8D06C5" w14:textId="77777777" w:rsidR="00D0553C" w:rsidRDefault="00D0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EEDF" w14:textId="77777777" w:rsidR="00E52482" w:rsidRDefault="00E52482" w:rsidP="00A706B1">
      <w:r>
        <w:separator/>
      </w:r>
    </w:p>
  </w:footnote>
  <w:footnote w:type="continuationSeparator" w:id="0">
    <w:p w14:paraId="1C9B7FED" w14:textId="77777777" w:rsidR="00E52482" w:rsidRDefault="00E52482" w:rsidP="00A706B1">
      <w:r>
        <w:continuationSeparator/>
      </w:r>
    </w:p>
  </w:footnote>
  <w:footnote w:id="1">
    <w:p w14:paraId="6C94227A" w14:textId="6E70BD89" w:rsidR="00950481" w:rsidRDefault="00950481" w:rsidP="00950481">
      <w:pPr>
        <w:pStyle w:val="FootnoteText"/>
      </w:pPr>
      <w:r>
        <w:rPr>
          <w:rStyle w:val="FootnoteReference"/>
        </w:rPr>
        <w:footnoteRef/>
      </w:r>
      <w:r>
        <w:t xml:space="preserve"> Covid-19 vaccines: safety surveillance manual. (https://apps.who.int/iris/handle/10665/338400, accessed 3 May 2023). </w:t>
      </w:r>
    </w:p>
  </w:footnote>
  <w:footnote w:id="2">
    <w:p w14:paraId="7FD92ECC" w14:textId="2061D424" w:rsidR="00950481" w:rsidRDefault="00950481">
      <w:pPr>
        <w:pStyle w:val="FootnoteText"/>
      </w:pPr>
      <w:r>
        <w:rPr>
          <w:rStyle w:val="FootnoteReference"/>
        </w:rPr>
        <w:footnoteRef/>
      </w:r>
      <w:r>
        <w:t xml:space="preserve"> Centers for Disease Control and Prevention. V-safe active surveillance for COVID 19 vaccine safety 2020 [updated 19 November 2020; cited 2021-01-15], (https://www.cdc.gov/vaccinesafety/pdf/V-safe-Protocol-508.pdf, accessed 3 May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98F" w14:textId="10AECF85" w:rsidR="00662DD1" w:rsidRDefault="00662DD1">
    <w:pPr>
      <w:pStyle w:val="Header"/>
    </w:pPr>
    <w:r>
      <w:rPr>
        <w:bCs/>
        <w:noProof/>
        <w:color w:val="000000"/>
        <w:sz w:val="22"/>
        <w:szCs w:val="22"/>
      </w:rPr>
      <w:drawing>
        <wp:inline distT="0" distB="0" distL="0" distR="0" wp14:anchorId="7C19048D" wp14:editId="3835D37D">
          <wp:extent cx="1860605" cy="644055"/>
          <wp:effectExtent l="0" t="0" r="0" b="3810"/>
          <wp:docPr id="756419310" name="Picture 7564193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441" b="21120"/>
                  <a:stretch/>
                </pic:blipFill>
                <pic:spPr bwMode="auto">
                  <a:xfrm>
                    <a:off x="0" y="0"/>
                    <a:ext cx="2057233" cy="712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bCs/>
        <w:noProof/>
        <w:color w:val="4E81BD"/>
        <w:sz w:val="48"/>
        <w:szCs w:val="48"/>
      </w:rPr>
      <w:drawing>
        <wp:inline distT="0" distB="0" distL="0" distR="0" wp14:anchorId="3A0D3E35" wp14:editId="4170AEA0">
          <wp:extent cx="1160891" cy="580446"/>
          <wp:effectExtent l="0" t="0" r="0" b="0"/>
          <wp:docPr id="1753054067" name="Picture 175305406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98" cy="62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241" w14:textId="0F0CF2D4" w:rsidR="00A706B1" w:rsidRDefault="00A706B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50E"/>
    <w:multiLevelType w:val="multilevel"/>
    <w:tmpl w:val="B2F87E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435"/>
    <w:multiLevelType w:val="hybridMultilevel"/>
    <w:tmpl w:val="2A6A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E1083"/>
    <w:multiLevelType w:val="hybridMultilevel"/>
    <w:tmpl w:val="65EE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B3821"/>
    <w:multiLevelType w:val="hybridMultilevel"/>
    <w:tmpl w:val="35D6A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F6F43"/>
    <w:multiLevelType w:val="hybridMultilevel"/>
    <w:tmpl w:val="73B2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11B5"/>
    <w:multiLevelType w:val="hybridMultilevel"/>
    <w:tmpl w:val="00AAF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A3538"/>
    <w:multiLevelType w:val="hybridMultilevel"/>
    <w:tmpl w:val="CDF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A30"/>
    <w:multiLevelType w:val="multilevel"/>
    <w:tmpl w:val="EBD872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525"/>
    <w:multiLevelType w:val="hybridMultilevel"/>
    <w:tmpl w:val="D5BAB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B719BC"/>
    <w:multiLevelType w:val="hybridMultilevel"/>
    <w:tmpl w:val="CC66E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A752C"/>
    <w:multiLevelType w:val="hybridMultilevel"/>
    <w:tmpl w:val="64BE5308"/>
    <w:lvl w:ilvl="0" w:tplc="1E40D7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E924B24">
      <w:start w:val="1"/>
      <w:numFmt w:val="lowerLetter"/>
      <w:lvlText w:val="%5."/>
      <w:lvlJc w:val="left"/>
      <w:pPr>
        <w:ind w:left="1170" w:hanging="360"/>
      </w:pPr>
      <w:rPr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593E4A"/>
    <w:multiLevelType w:val="hybridMultilevel"/>
    <w:tmpl w:val="D65E6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5862710">
    <w:abstractNumId w:val="6"/>
  </w:num>
  <w:num w:numId="2" w16cid:durableId="1066224018">
    <w:abstractNumId w:val="4"/>
  </w:num>
  <w:num w:numId="3" w16cid:durableId="994996061">
    <w:abstractNumId w:val="7"/>
  </w:num>
  <w:num w:numId="4" w16cid:durableId="1235045227">
    <w:abstractNumId w:val="8"/>
  </w:num>
  <w:num w:numId="5" w16cid:durableId="1783380938">
    <w:abstractNumId w:val="0"/>
  </w:num>
  <w:num w:numId="6" w16cid:durableId="465585158">
    <w:abstractNumId w:val="2"/>
  </w:num>
  <w:num w:numId="7" w16cid:durableId="1383097516">
    <w:abstractNumId w:val="10"/>
  </w:num>
  <w:num w:numId="8" w16cid:durableId="661393993">
    <w:abstractNumId w:val="5"/>
  </w:num>
  <w:num w:numId="9" w16cid:durableId="1627852392">
    <w:abstractNumId w:val="3"/>
  </w:num>
  <w:num w:numId="10" w16cid:durableId="1497526188">
    <w:abstractNumId w:val="9"/>
  </w:num>
  <w:num w:numId="11" w16cid:durableId="307445674">
    <w:abstractNumId w:val="1"/>
  </w:num>
  <w:num w:numId="12" w16cid:durableId="804390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3"/>
    <w:rsid w:val="00001BD0"/>
    <w:rsid w:val="000076BA"/>
    <w:rsid w:val="0002079D"/>
    <w:rsid w:val="00027033"/>
    <w:rsid w:val="0003626D"/>
    <w:rsid w:val="0004127C"/>
    <w:rsid w:val="00041C51"/>
    <w:rsid w:val="000865A3"/>
    <w:rsid w:val="000946C0"/>
    <w:rsid w:val="000B12E6"/>
    <w:rsid w:val="000C2466"/>
    <w:rsid w:val="000C53CE"/>
    <w:rsid w:val="000F5BFF"/>
    <w:rsid w:val="00193E7A"/>
    <w:rsid w:val="00195B08"/>
    <w:rsid w:val="001D0BA8"/>
    <w:rsid w:val="001D1B0B"/>
    <w:rsid w:val="001E227B"/>
    <w:rsid w:val="002067FF"/>
    <w:rsid w:val="0022017F"/>
    <w:rsid w:val="00237C1B"/>
    <w:rsid w:val="00246AB0"/>
    <w:rsid w:val="00270ADB"/>
    <w:rsid w:val="00282122"/>
    <w:rsid w:val="002848FE"/>
    <w:rsid w:val="00284DAD"/>
    <w:rsid w:val="002C1686"/>
    <w:rsid w:val="0030368C"/>
    <w:rsid w:val="00313EBC"/>
    <w:rsid w:val="00324EB9"/>
    <w:rsid w:val="00336DC7"/>
    <w:rsid w:val="0034056E"/>
    <w:rsid w:val="003510FC"/>
    <w:rsid w:val="00353F1E"/>
    <w:rsid w:val="00362837"/>
    <w:rsid w:val="003655B6"/>
    <w:rsid w:val="003A248A"/>
    <w:rsid w:val="003A5CB4"/>
    <w:rsid w:val="003A5F8E"/>
    <w:rsid w:val="003B6923"/>
    <w:rsid w:val="003D24F0"/>
    <w:rsid w:val="003D5640"/>
    <w:rsid w:val="003D6C67"/>
    <w:rsid w:val="003F5FE1"/>
    <w:rsid w:val="00421327"/>
    <w:rsid w:val="00432882"/>
    <w:rsid w:val="004515EE"/>
    <w:rsid w:val="00454B9E"/>
    <w:rsid w:val="004B502F"/>
    <w:rsid w:val="004C253E"/>
    <w:rsid w:val="004D4283"/>
    <w:rsid w:val="004E470A"/>
    <w:rsid w:val="0052561E"/>
    <w:rsid w:val="00533C1E"/>
    <w:rsid w:val="00533FA5"/>
    <w:rsid w:val="00545FFC"/>
    <w:rsid w:val="0054611A"/>
    <w:rsid w:val="00554F61"/>
    <w:rsid w:val="0055581E"/>
    <w:rsid w:val="005623D1"/>
    <w:rsid w:val="005719AE"/>
    <w:rsid w:val="00572837"/>
    <w:rsid w:val="00576006"/>
    <w:rsid w:val="00591482"/>
    <w:rsid w:val="005B277A"/>
    <w:rsid w:val="005B461E"/>
    <w:rsid w:val="005E01F2"/>
    <w:rsid w:val="005F6D8D"/>
    <w:rsid w:val="006007AF"/>
    <w:rsid w:val="00610654"/>
    <w:rsid w:val="00621355"/>
    <w:rsid w:val="00624FB4"/>
    <w:rsid w:val="006313A4"/>
    <w:rsid w:val="00646469"/>
    <w:rsid w:val="006503B6"/>
    <w:rsid w:val="00650EF9"/>
    <w:rsid w:val="00662DD1"/>
    <w:rsid w:val="00665455"/>
    <w:rsid w:val="00691DBB"/>
    <w:rsid w:val="006C38C8"/>
    <w:rsid w:val="006C63D1"/>
    <w:rsid w:val="006E4D98"/>
    <w:rsid w:val="007379C2"/>
    <w:rsid w:val="0075467D"/>
    <w:rsid w:val="00770AD9"/>
    <w:rsid w:val="007A4008"/>
    <w:rsid w:val="007B6BB2"/>
    <w:rsid w:val="007F6A84"/>
    <w:rsid w:val="00803D4E"/>
    <w:rsid w:val="00835572"/>
    <w:rsid w:val="008737D9"/>
    <w:rsid w:val="008B688E"/>
    <w:rsid w:val="008C6C2E"/>
    <w:rsid w:val="008E1ADA"/>
    <w:rsid w:val="008E1EF3"/>
    <w:rsid w:val="008F1635"/>
    <w:rsid w:val="008F62F8"/>
    <w:rsid w:val="008F69F3"/>
    <w:rsid w:val="0094598D"/>
    <w:rsid w:val="00950481"/>
    <w:rsid w:val="0095498E"/>
    <w:rsid w:val="00961D71"/>
    <w:rsid w:val="00966059"/>
    <w:rsid w:val="00981461"/>
    <w:rsid w:val="009829D5"/>
    <w:rsid w:val="009A5B63"/>
    <w:rsid w:val="009C0BC2"/>
    <w:rsid w:val="009D34BB"/>
    <w:rsid w:val="009D56F3"/>
    <w:rsid w:val="00A12394"/>
    <w:rsid w:val="00A13E3E"/>
    <w:rsid w:val="00A706B1"/>
    <w:rsid w:val="00A84A85"/>
    <w:rsid w:val="00A90525"/>
    <w:rsid w:val="00AA6C1F"/>
    <w:rsid w:val="00AD7CD5"/>
    <w:rsid w:val="00AF4593"/>
    <w:rsid w:val="00B44D95"/>
    <w:rsid w:val="00B52D24"/>
    <w:rsid w:val="00B5469C"/>
    <w:rsid w:val="00B65732"/>
    <w:rsid w:val="00B66228"/>
    <w:rsid w:val="00B66FD4"/>
    <w:rsid w:val="00B740EA"/>
    <w:rsid w:val="00B87E3F"/>
    <w:rsid w:val="00BB58A6"/>
    <w:rsid w:val="00BE326D"/>
    <w:rsid w:val="00C9094F"/>
    <w:rsid w:val="00CA1B93"/>
    <w:rsid w:val="00CA1EAE"/>
    <w:rsid w:val="00CD00A4"/>
    <w:rsid w:val="00CD5B79"/>
    <w:rsid w:val="00CE0BCA"/>
    <w:rsid w:val="00CE4552"/>
    <w:rsid w:val="00CF38E6"/>
    <w:rsid w:val="00D0553C"/>
    <w:rsid w:val="00D13D3D"/>
    <w:rsid w:val="00D35989"/>
    <w:rsid w:val="00D47842"/>
    <w:rsid w:val="00D513D8"/>
    <w:rsid w:val="00D579A7"/>
    <w:rsid w:val="00D674BC"/>
    <w:rsid w:val="00D87075"/>
    <w:rsid w:val="00DB4B4A"/>
    <w:rsid w:val="00DB4FE2"/>
    <w:rsid w:val="00DE5872"/>
    <w:rsid w:val="00DF3C38"/>
    <w:rsid w:val="00E2637E"/>
    <w:rsid w:val="00E52482"/>
    <w:rsid w:val="00E72E0E"/>
    <w:rsid w:val="00EB05D9"/>
    <w:rsid w:val="00EB5314"/>
    <w:rsid w:val="00EC52B2"/>
    <w:rsid w:val="00ED4F9C"/>
    <w:rsid w:val="00ED68E7"/>
    <w:rsid w:val="00EF79D4"/>
    <w:rsid w:val="00F4774E"/>
    <w:rsid w:val="00F63871"/>
    <w:rsid w:val="00F84288"/>
    <w:rsid w:val="00FA6EED"/>
    <w:rsid w:val="00FA793A"/>
    <w:rsid w:val="00FC57F9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1DB9"/>
  <w15:chartTrackingRefBased/>
  <w15:docId w15:val="{14FBB65D-7DBD-A741-9627-5F45F3D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9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848FE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D34BB"/>
    <w:pPr>
      <w:tabs>
        <w:tab w:val="right" w:leader="dot" w:pos="9926"/>
      </w:tabs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848F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48F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48F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848F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848F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848F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848FE"/>
    <w:pPr>
      <w:ind w:left="1920"/>
    </w:pPr>
    <w:rPr>
      <w:rFonts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4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01F2"/>
    <w:rPr>
      <w:sz w:val="22"/>
      <w:szCs w:val="22"/>
      <w:lang w:val="fr-FR"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2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46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6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61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6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61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F3C3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5623D1"/>
  </w:style>
  <w:style w:type="paragraph" w:styleId="Header">
    <w:name w:val="header"/>
    <w:basedOn w:val="Normal"/>
    <w:link w:val="HeaderChar"/>
    <w:uiPriority w:val="99"/>
    <w:unhideWhenUsed/>
    <w:rsid w:val="00A7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B1"/>
  </w:style>
  <w:style w:type="paragraph" w:styleId="Footer">
    <w:name w:val="footer"/>
    <w:basedOn w:val="Normal"/>
    <w:link w:val="FooterChar"/>
    <w:uiPriority w:val="99"/>
    <w:unhideWhenUsed/>
    <w:rsid w:val="00A7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B1"/>
  </w:style>
  <w:style w:type="paragraph" w:styleId="FootnoteText">
    <w:name w:val="footnote text"/>
    <w:basedOn w:val="Normal"/>
    <w:link w:val="FootnoteTextChar"/>
    <w:uiPriority w:val="99"/>
    <w:semiHidden/>
    <w:unhideWhenUsed/>
    <w:rsid w:val="00950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4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ightoncollaboration.us/wp-content/uploads/2021/01/COVID-19-updated-AESI-lis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ightoncollaboration.us/wp-content/uploads/2021/01/COVID-19-updated-AESI-list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-hub.org/covid-19/safety-stu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igo.org" TargetMode="External"/><Relationship Id="rId10" Type="http://schemas.openxmlformats.org/officeDocument/2006/relationships/hyperlink" Target="mailto:mjurgen4@jhu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BF7F8-B437-C94B-92AF-312AE07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Jurgensmeyer</dc:creator>
  <cp:keywords/>
  <dc:description/>
  <cp:lastModifiedBy>Knoll, Maria</cp:lastModifiedBy>
  <cp:revision>2</cp:revision>
  <dcterms:created xsi:type="dcterms:W3CDTF">2023-06-09T18:21:00Z</dcterms:created>
  <dcterms:modified xsi:type="dcterms:W3CDTF">2023-06-09T18:21:00Z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CEPI Internal</vt:lpwstr>
  </property>
  <property fmtid="{D5CDD505-2E9C-101B-9397-08002B2CF9AE}" pid="5" name="MSIP_Label_85917025-a8ec-4cda-875c-cb94c48daac9_Enabled">
    <vt:lpwstr>true</vt:lpwstr>
  </property>
  <property fmtid="{D5CDD505-2E9C-101B-9397-08002B2CF9AE}" pid="6" name="MSIP_Label_85917025-a8ec-4cda-875c-cb94c48daac9_SetDate">
    <vt:lpwstr>2022-10-17T14:29:03Z</vt:lpwstr>
  </property>
  <property fmtid="{D5CDD505-2E9C-101B-9397-08002B2CF9AE}" pid="7" name="MSIP_Label_85917025-a8ec-4cda-875c-cb94c48daac9_Method">
    <vt:lpwstr>Standard</vt:lpwstr>
  </property>
  <property fmtid="{D5CDD505-2E9C-101B-9397-08002B2CF9AE}" pid="8" name="MSIP_Label_85917025-a8ec-4cda-875c-cb94c48daac9_Name">
    <vt:lpwstr>Internal</vt:lpwstr>
  </property>
  <property fmtid="{D5CDD505-2E9C-101B-9397-08002B2CF9AE}" pid="9" name="MSIP_Label_85917025-a8ec-4cda-875c-cb94c48daac9_SiteId">
    <vt:lpwstr>80bdb1d3-debd-4f2d-9316-510b9ecdab02</vt:lpwstr>
  </property>
  <property fmtid="{D5CDD505-2E9C-101B-9397-08002B2CF9AE}" pid="10" name="MSIP_Label_85917025-a8ec-4cda-875c-cb94c48daac9_ActionId">
    <vt:lpwstr>c4fde371-8d43-431e-a44a-888528bd5ca7</vt:lpwstr>
  </property>
  <property fmtid="{D5CDD505-2E9C-101B-9397-08002B2CF9AE}" pid="11" name="MSIP_Label_85917025-a8ec-4cda-875c-cb94c48daac9_ContentBits">
    <vt:lpwstr>2</vt:lpwstr>
  </property>
</Properties>
</file>